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B1B48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Referenslitteratur i språksociologi </w:t>
      </w:r>
    </w:p>
    <w:p w14:paraId="41225716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18B">
        <w:rPr>
          <w:rFonts w:ascii="Times New Roman" w:hAnsi="Times New Roman" w:cs="Times New Roman"/>
          <w:sz w:val="24"/>
          <w:szCs w:val="24"/>
        </w:rPr>
        <w:t>Adelmann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Kent (2009).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Konsten att lyssna. Didaktiskt lyssnade i skola och utbildning</w:t>
      </w:r>
      <w:r w:rsidRPr="005A318B">
        <w:rPr>
          <w:rFonts w:ascii="Times New Roman" w:hAnsi="Times New Roman" w:cs="Times New Roman"/>
          <w:sz w:val="24"/>
          <w:szCs w:val="24"/>
        </w:rPr>
        <w:t xml:space="preserve">. Lund: Studentlitteratur. </w:t>
      </w:r>
    </w:p>
    <w:p w14:paraId="5D73B27B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18B">
        <w:rPr>
          <w:rFonts w:ascii="Times New Roman" w:hAnsi="Times New Roman" w:cs="Times New Roman"/>
          <w:sz w:val="24"/>
          <w:szCs w:val="24"/>
        </w:rPr>
        <w:t>Adelswärd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Viveka (1991).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Prat, skratt, skvaller och gräl och annat vi gör när vi samtalar</w:t>
      </w:r>
      <w:r w:rsidRPr="005A318B">
        <w:rPr>
          <w:rFonts w:ascii="Times New Roman" w:hAnsi="Times New Roman" w:cs="Times New Roman"/>
          <w:sz w:val="24"/>
          <w:szCs w:val="24"/>
        </w:rPr>
        <w:t xml:space="preserve">. Stockholm: Brombergs. </w:t>
      </w:r>
    </w:p>
    <w:p w14:paraId="3A9305C8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Allén, Sture; Gellerstam, Martin; Malmgren, Sven-Göran (1989).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Orden speglar samhället.</w:t>
      </w:r>
      <w:r w:rsidRPr="005A318B">
        <w:rPr>
          <w:rFonts w:ascii="Times New Roman" w:hAnsi="Times New Roman" w:cs="Times New Roman"/>
          <w:sz w:val="24"/>
          <w:szCs w:val="24"/>
        </w:rPr>
        <w:t xml:space="preserve"> Allmänna förlaget. </w:t>
      </w:r>
    </w:p>
    <w:p w14:paraId="35518F1E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Andersson, Lars-Gunnar (1985).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Fult språk.</w:t>
      </w:r>
      <w:r w:rsidRPr="005A318B">
        <w:rPr>
          <w:rFonts w:ascii="Times New Roman" w:hAnsi="Times New Roman" w:cs="Times New Roman"/>
          <w:sz w:val="24"/>
          <w:szCs w:val="24"/>
        </w:rPr>
        <w:t xml:space="preserve"> Stockholm: Carlssons. </w:t>
      </w:r>
    </w:p>
    <w:p w14:paraId="14EC33FD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18B">
        <w:rPr>
          <w:rFonts w:ascii="Times New Roman" w:hAnsi="Times New Roman" w:cs="Times New Roman"/>
          <w:sz w:val="24"/>
          <w:szCs w:val="24"/>
        </w:rPr>
        <w:t>Aniansson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Eva (red.) (2004).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Bästa språket</w:t>
      </w:r>
      <w:r w:rsidRPr="005A318B">
        <w:rPr>
          <w:rFonts w:ascii="Times New Roman" w:hAnsi="Times New Roman" w:cs="Times New Roman"/>
          <w:sz w:val="24"/>
          <w:szCs w:val="24"/>
        </w:rPr>
        <w:t xml:space="preserve">. Ord och stil. Stockholm. </w:t>
      </w:r>
    </w:p>
    <w:p w14:paraId="44932C54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Ask, Sofia (2007).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Vägar till ett akademiskt skriftspråk</w:t>
      </w:r>
      <w:r w:rsidRPr="005A318B">
        <w:rPr>
          <w:rFonts w:ascii="Times New Roman" w:hAnsi="Times New Roman" w:cs="Times New Roman"/>
          <w:sz w:val="24"/>
          <w:szCs w:val="24"/>
        </w:rPr>
        <w:t xml:space="preserve">. Acta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Wexionensia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nr 115/2007, humaniora. </w:t>
      </w:r>
    </w:p>
    <w:p w14:paraId="5D186DED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Bergman, Gösta (1970).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Slang och hemliga språk</w:t>
      </w:r>
      <w:r w:rsidRPr="005A318B">
        <w:rPr>
          <w:rFonts w:ascii="Times New Roman" w:hAnsi="Times New Roman" w:cs="Times New Roman"/>
          <w:sz w:val="24"/>
          <w:szCs w:val="24"/>
        </w:rPr>
        <w:t xml:space="preserve">. Stockholm: Prisma. </w:t>
      </w:r>
    </w:p>
    <w:p w14:paraId="0FCDC41C" w14:textId="77777777" w:rsidR="00D81158" w:rsidRDefault="00D81158" w:rsidP="00D811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18B">
        <w:rPr>
          <w:rFonts w:ascii="Times New Roman" w:hAnsi="Times New Roman" w:cs="Times New Roman"/>
          <w:sz w:val="24"/>
          <w:szCs w:val="24"/>
        </w:rPr>
        <w:t>Bjar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A318B">
        <w:rPr>
          <w:rFonts w:ascii="Times New Roman" w:hAnsi="Times New Roman" w:cs="Times New Roman"/>
          <w:sz w:val="24"/>
          <w:szCs w:val="24"/>
        </w:rPr>
        <w:t xml:space="preserve"> Louise (red.)</w:t>
      </w:r>
      <w:r w:rsidRPr="00D81158">
        <w:rPr>
          <w:rFonts w:ascii="Times New Roman" w:hAnsi="Times New Roman" w:cs="Times New Roman"/>
          <w:sz w:val="24"/>
          <w:szCs w:val="24"/>
        </w:rPr>
        <w:t xml:space="preserve"> </w:t>
      </w:r>
      <w:r w:rsidRPr="005A318B">
        <w:rPr>
          <w:rFonts w:ascii="Times New Roman" w:hAnsi="Times New Roman" w:cs="Times New Roman"/>
          <w:sz w:val="24"/>
          <w:szCs w:val="24"/>
        </w:rPr>
        <w:t>(2006).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Det hänger på språket!</w:t>
      </w:r>
      <w:r w:rsidRPr="005A318B">
        <w:rPr>
          <w:rFonts w:ascii="Times New Roman" w:hAnsi="Times New Roman" w:cs="Times New Roman"/>
          <w:sz w:val="24"/>
          <w:szCs w:val="24"/>
        </w:rPr>
        <w:t xml:space="preserve"> Lund: Studentlitteratur. </w:t>
      </w:r>
      <w:r>
        <w:rPr>
          <w:rFonts w:ascii="Times New Roman" w:hAnsi="Times New Roman" w:cs="Times New Roman"/>
          <w:sz w:val="24"/>
          <w:szCs w:val="24"/>
        </w:rPr>
        <w:br/>
      </w:r>
      <w:r w:rsidRPr="005A318B">
        <w:rPr>
          <w:rFonts w:ascii="Times New Roman" w:hAnsi="Times New Roman" w:cs="Times New Roman"/>
          <w:sz w:val="24"/>
          <w:szCs w:val="24"/>
        </w:rPr>
        <w:t xml:space="preserve">Femton kapitel som handlar bl.a. om tal och samtal, flerspråkig utveckling, läsning, textförståelse, genreskrivning, textanalys, läromedelstexter, datorn som verktyg för läsning och skrivning, läs- och skrivsvårighet samt dyslexi. </w:t>
      </w:r>
    </w:p>
    <w:p w14:paraId="0D3E0E05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318B">
        <w:rPr>
          <w:rFonts w:ascii="Times New Roman" w:hAnsi="Times New Roman" w:cs="Times New Roman"/>
          <w:sz w:val="24"/>
          <w:szCs w:val="24"/>
        </w:rPr>
        <w:t xml:space="preserve">Björkvall, Anders (2009).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Den visuella texten.</w:t>
      </w:r>
      <w:r w:rsidRPr="005A318B">
        <w:rPr>
          <w:rFonts w:ascii="Times New Roman" w:hAnsi="Times New Roman" w:cs="Times New Roman"/>
          <w:sz w:val="24"/>
          <w:szCs w:val="24"/>
        </w:rPr>
        <w:t xml:space="preserve"> Multimodal analys i praktiken. Ord och stil, Stockholm: Hallgren &amp; Fallgren. </w:t>
      </w:r>
    </w:p>
    <w:p w14:paraId="20AC7F07" w14:textId="77777777" w:rsidR="005A318B" w:rsidRPr="00D81158" w:rsidRDefault="005A31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1158">
        <w:rPr>
          <w:rFonts w:ascii="Times New Roman" w:hAnsi="Times New Roman" w:cs="Times New Roman"/>
          <w:sz w:val="24"/>
          <w:szCs w:val="24"/>
          <w:lang w:val="en-US"/>
        </w:rPr>
        <w:t>Bolander</w:t>
      </w:r>
      <w:proofErr w:type="spellEnd"/>
      <w:r w:rsidRPr="00D81158">
        <w:rPr>
          <w:rFonts w:ascii="Times New Roman" w:hAnsi="Times New Roman" w:cs="Times New Roman"/>
          <w:sz w:val="24"/>
          <w:szCs w:val="24"/>
          <w:lang w:val="en-US"/>
        </w:rPr>
        <w:t xml:space="preserve">, Brook (2013). </w:t>
      </w:r>
      <w:r w:rsidRPr="00D81158">
        <w:rPr>
          <w:rFonts w:ascii="Times New Roman" w:hAnsi="Times New Roman" w:cs="Times New Roman"/>
          <w:i/>
          <w:iCs/>
          <w:sz w:val="24"/>
          <w:szCs w:val="24"/>
          <w:lang w:val="en-US"/>
        </w:rPr>
        <w:t>Language and Power in Blogs</w:t>
      </w:r>
      <w:r w:rsidRPr="00D81158">
        <w:rPr>
          <w:rFonts w:ascii="Times New Roman" w:hAnsi="Times New Roman" w:cs="Times New Roman"/>
          <w:sz w:val="24"/>
          <w:szCs w:val="24"/>
          <w:lang w:val="en-US"/>
        </w:rPr>
        <w:t xml:space="preserve">. Amsterdam: John Benjamins Publishing Company. </w:t>
      </w:r>
    </w:p>
    <w:p w14:paraId="149205A3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18B">
        <w:rPr>
          <w:rFonts w:ascii="Times New Roman" w:hAnsi="Times New Roman" w:cs="Times New Roman"/>
          <w:sz w:val="24"/>
          <w:szCs w:val="24"/>
        </w:rPr>
        <w:t>Börestam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Ulla; Huss, Leena (2001).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Språkliga möten: tvåspråkighet och kontaktlingvistik</w:t>
      </w:r>
      <w:r w:rsidRPr="005A318B">
        <w:rPr>
          <w:rFonts w:ascii="Times New Roman" w:hAnsi="Times New Roman" w:cs="Times New Roman"/>
          <w:sz w:val="24"/>
          <w:szCs w:val="24"/>
        </w:rPr>
        <w:t xml:space="preserve">. Lund: Studentlitteratur. </w:t>
      </w:r>
    </w:p>
    <w:p w14:paraId="40EF0CBD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18B">
        <w:rPr>
          <w:rFonts w:ascii="Times New Roman" w:hAnsi="Times New Roman" w:cs="Times New Roman"/>
          <w:sz w:val="24"/>
          <w:szCs w:val="24"/>
        </w:rPr>
        <w:t>Castells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Manuel (2001).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Informationsåldern: ekonomi, samhälle och kultur. Nätverkssamhällets framväxt.</w:t>
      </w:r>
      <w:r w:rsidRPr="005A318B">
        <w:rPr>
          <w:rFonts w:ascii="Times New Roman" w:hAnsi="Times New Roman" w:cs="Times New Roman"/>
          <w:sz w:val="24"/>
          <w:szCs w:val="24"/>
        </w:rPr>
        <w:t xml:space="preserve"> Göteborg: Daidalos. </w:t>
      </w:r>
    </w:p>
    <w:p w14:paraId="2DC8964A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A318B">
        <w:rPr>
          <w:rFonts w:ascii="Times New Roman" w:hAnsi="Times New Roman" w:cs="Times New Roman"/>
          <w:sz w:val="24"/>
          <w:szCs w:val="24"/>
        </w:rPr>
        <w:t>Cromdahl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Jakob; Evaldsson, Ann-Carita (red.) (2003).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Ett vardagsliv med flera språk</w:t>
      </w:r>
      <w:r w:rsidRPr="005A318B">
        <w:rPr>
          <w:rFonts w:ascii="Times New Roman" w:hAnsi="Times New Roman" w:cs="Times New Roman"/>
          <w:sz w:val="24"/>
          <w:szCs w:val="24"/>
        </w:rPr>
        <w:t xml:space="preserve">. Solna: Liber. </w:t>
      </w:r>
    </w:p>
    <w:p w14:paraId="033A5061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Dahl, Östen (2002).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Språkens ekologi.</w:t>
      </w:r>
      <w:r w:rsidRPr="005A318B">
        <w:rPr>
          <w:rFonts w:ascii="Times New Roman" w:hAnsi="Times New Roman" w:cs="Times New Roman"/>
          <w:sz w:val="24"/>
          <w:szCs w:val="24"/>
        </w:rPr>
        <w:t xml:space="preserve"> I: Forskning &amp; Framsteg 2. </w:t>
      </w:r>
    </w:p>
    <w:p w14:paraId="6F2A5541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Daun, Åke (1999).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Svensk mentalitet: ett jämförande perspektiv.</w:t>
      </w:r>
      <w:r w:rsidRPr="005A318B">
        <w:rPr>
          <w:rFonts w:ascii="Times New Roman" w:hAnsi="Times New Roman" w:cs="Times New Roman"/>
          <w:sz w:val="24"/>
          <w:szCs w:val="24"/>
        </w:rPr>
        <w:t xml:space="preserve"> Stockholm: Rabén &amp; Sjögren. </w:t>
      </w:r>
    </w:p>
    <w:p w14:paraId="4392222C" w14:textId="77777777" w:rsidR="005A318B" w:rsidRDefault="005A318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81158">
        <w:rPr>
          <w:rFonts w:ascii="Times New Roman" w:hAnsi="Times New Roman" w:cs="Times New Roman"/>
          <w:sz w:val="24"/>
          <w:szCs w:val="24"/>
          <w:lang w:val="en-US"/>
        </w:rPr>
        <w:t xml:space="preserve">Dijk, Jan van (2006). </w:t>
      </w:r>
      <w:r w:rsidRPr="005A318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network society: social aspects of new media</w:t>
      </w:r>
      <w:r w:rsidRPr="005A318B">
        <w:rPr>
          <w:rFonts w:ascii="Times New Roman" w:hAnsi="Times New Roman" w:cs="Times New Roman"/>
          <w:sz w:val="24"/>
          <w:szCs w:val="24"/>
          <w:lang w:val="en-US"/>
        </w:rPr>
        <w:t xml:space="preserve">. London: Sage. </w:t>
      </w:r>
    </w:p>
    <w:p w14:paraId="5835C275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Domeij, Rickard (2005).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Datorn granskar språket.</w:t>
      </w:r>
      <w:r w:rsidRPr="005A318B">
        <w:rPr>
          <w:rFonts w:ascii="Times New Roman" w:hAnsi="Times New Roman" w:cs="Times New Roman"/>
          <w:sz w:val="24"/>
          <w:szCs w:val="24"/>
        </w:rPr>
        <w:t xml:space="preserve"> Småskrift utgiven av Svenska språknämnden. Stockholm: Norstedts. </w:t>
      </w:r>
    </w:p>
    <w:p w14:paraId="2171DF7E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Domeij, Rickard (2010).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En språkpolitik för internet.</w:t>
      </w:r>
      <w:r w:rsidRPr="005A318B">
        <w:rPr>
          <w:rFonts w:ascii="Times New Roman" w:hAnsi="Times New Roman" w:cs="Times New Roman"/>
          <w:sz w:val="24"/>
          <w:szCs w:val="24"/>
        </w:rPr>
        <w:t xml:space="preserve"> Språkrådet. </w:t>
      </w:r>
      <w:hyperlink r:id="rId7" w:history="1">
        <w:r w:rsidRPr="00D31FEC">
          <w:rPr>
            <w:rStyle w:val="Hyperlnk"/>
            <w:rFonts w:ascii="Times New Roman" w:hAnsi="Times New Roman" w:cs="Times New Roman"/>
            <w:sz w:val="24"/>
            <w:szCs w:val="24"/>
          </w:rPr>
          <w:t>http://www.sprakochfolkminnen.se/download/18.1bc6136f1422723e4bf7508/1398 151022584/Sprakpolitik-for-internet.pdf</w:t>
        </w:r>
      </w:hyperlink>
      <w:r w:rsidRPr="005A3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97A836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Dunkels,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Elza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(2009).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Vad gör unga på nätet?</w:t>
      </w:r>
      <w:r w:rsidRPr="005A3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Malmö: </w:t>
      </w:r>
      <w:r w:rsidRPr="005A318B">
        <w:rPr>
          <w:rFonts w:ascii="Times New Roman" w:hAnsi="Times New Roman" w:cs="Times New Roman"/>
          <w:sz w:val="24"/>
          <w:szCs w:val="24"/>
        </w:rPr>
        <w:t xml:space="preserve">Gleerups </w:t>
      </w:r>
    </w:p>
    <w:p w14:paraId="5D1CE560" w14:textId="77777777" w:rsid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lastRenderedPageBreak/>
        <w:t xml:space="preserve">Edlund, Ann-Catrine; Erson, Eva; Milles, Karin (2007). </w:t>
      </w:r>
      <w:r w:rsidRPr="005A318B">
        <w:rPr>
          <w:rFonts w:ascii="Times New Roman" w:hAnsi="Times New Roman" w:cs="Times New Roman"/>
          <w:i/>
          <w:iCs/>
          <w:sz w:val="24"/>
          <w:szCs w:val="24"/>
        </w:rPr>
        <w:t>Språk och kön.</w:t>
      </w:r>
      <w:r w:rsidRPr="005A318B">
        <w:rPr>
          <w:rFonts w:ascii="Times New Roman" w:hAnsi="Times New Roman" w:cs="Times New Roman"/>
          <w:sz w:val="24"/>
          <w:szCs w:val="24"/>
        </w:rPr>
        <w:t xml:space="preserve"> Stockholm: Norstedts. </w:t>
      </w:r>
    </w:p>
    <w:p w14:paraId="389871D6" w14:textId="77777777" w:rsidR="005B21D2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Einarsson, Jan; Hultman, Tor (1984). </w:t>
      </w:r>
      <w:r w:rsidRPr="005B21D2">
        <w:rPr>
          <w:rFonts w:ascii="Times New Roman" w:hAnsi="Times New Roman" w:cs="Times New Roman"/>
          <w:i/>
          <w:iCs/>
          <w:sz w:val="24"/>
          <w:szCs w:val="24"/>
        </w:rPr>
        <w:t xml:space="preserve">Godmorgon pojkar och flickor: om språk och kön i skolan. </w:t>
      </w:r>
      <w:r w:rsidRPr="005A318B">
        <w:rPr>
          <w:rFonts w:ascii="Times New Roman" w:hAnsi="Times New Roman" w:cs="Times New Roman"/>
          <w:sz w:val="24"/>
          <w:szCs w:val="24"/>
        </w:rPr>
        <w:t xml:space="preserve">Solna: Liber. </w:t>
      </w:r>
    </w:p>
    <w:p w14:paraId="4B53F00A" w14:textId="77777777" w:rsidR="005B21D2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Einarsson, Jan (2013). </w:t>
      </w:r>
      <w:r w:rsidRPr="005B21D2">
        <w:rPr>
          <w:rFonts w:ascii="Times New Roman" w:hAnsi="Times New Roman" w:cs="Times New Roman"/>
          <w:i/>
          <w:iCs/>
          <w:sz w:val="24"/>
          <w:szCs w:val="24"/>
        </w:rPr>
        <w:t>Språket och språkarna</w:t>
      </w:r>
      <w:r w:rsidRPr="005A318B">
        <w:rPr>
          <w:rFonts w:ascii="Times New Roman" w:hAnsi="Times New Roman" w:cs="Times New Roman"/>
          <w:sz w:val="24"/>
          <w:szCs w:val="24"/>
        </w:rPr>
        <w:t xml:space="preserve">. Lund: Studentlitteratur. </w:t>
      </w:r>
    </w:p>
    <w:p w14:paraId="6E2C8C8B" w14:textId="77777777" w:rsidR="005B21D2" w:rsidRDefault="005A318B">
      <w:pPr>
        <w:rPr>
          <w:rFonts w:ascii="Times New Roman" w:hAnsi="Times New Roman" w:cs="Times New Roman"/>
          <w:sz w:val="24"/>
          <w:szCs w:val="24"/>
        </w:rPr>
      </w:pPr>
      <w:r w:rsidRPr="005B21D2">
        <w:rPr>
          <w:rFonts w:ascii="Times New Roman" w:hAnsi="Times New Roman" w:cs="Times New Roman"/>
          <w:i/>
          <w:iCs/>
          <w:sz w:val="24"/>
          <w:szCs w:val="24"/>
        </w:rPr>
        <w:t>Engelska eller svenska?</w:t>
      </w:r>
      <w:r w:rsidRPr="005A318B">
        <w:rPr>
          <w:rFonts w:ascii="Times New Roman" w:hAnsi="Times New Roman" w:cs="Times New Roman"/>
          <w:sz w:val="24"/>
          <w:szCs w:val="24"/>
        </w:rPr>
        <w:t xml:space="preserve"> En kartläggning av språksituationen inom högre utbildning och forskning (2010). Rapport från Språkrådet. Stockholm. </w:t>
      </w:r>
    </w:p>
    <w:p w14:paraId="3E189354" w14:textId="77777777" w:rsidR="005B21D2" w:rsidRDefault="005A318B">
      <w:pPr>
        <w:rPr>
          <w:rFonts w:ascii="Times New Roman" w:hAnsi="Times New Roman" w:cs="Times New Roman"/>
          <w:sz w:val="24"/>
          <w:szCs w:val="24"/>
        </w:rPr>
      </w:pPr>
      <w:r w:rsidRPr="005B21D2">
        <w:rPr>
          <w:rFonts w:ascii="Times New Roman" w:hAnsi="Times New Roman" w:cs="Times New Roman"/>
          <w:i/>
          <w:iCs/>
          <w:sz w:val="24"/>
          <w:szCs w:val="24"/>
        </w:rPr>
        <w:t>Engelskan i Sverige. Språkval i utbildning, arbete och kulturliv</w:t>
      </w:r>
      <w:r w:rsidRPr="005A318B">
        <w:rPr>
          <w:rFonts w:ascii="Times New Roman" w:hAnsi="Times New Roman" w:cs="Times New Roman"/>
          <w:sz w:val="24"/>
          <w:szCs w:val="24"/>
        </w:rPr>
        <w:t xml:space="preserve"> (2004). Småskrift utgiven av Svenska språknämnden. Stockholm. </w:t>
      </w:r>
    </w:p>
    <w:p w14:paraId="4FD8C778" w14:textId="77777777" w:rsidR="005B21D2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Eriksson, Lisa (2001): Absolutist,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anpassare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eller avståndstagare? I: Svenskläraren 4. </w:t>
      </w:r>
    </w:p>
    <w:p w14:paraId="4A692B26" w14:textId="77777777" w:rsidR="005B21D2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Erson, Eva; Edlund; Ann-Catrine; Milles, Karin (2007). Språk och kön. Stockholm: Norstedts. </w:t>
      </w:r>
    </w:p>
    <w:p w14:paraId="3FA92181" w14:textId="77777777" w:rsidR="00365BE4" w:rsidRPr="005A318B" w:rsidRDefault="005A318B">
      <w:pPr>
        <w:rPr>
          <w:rFonts w:ascii="Times New Roman" w:hAnsi="Times New Roman" w:cs="Times New Roman"/>
          <w:sz w:val="24"/>
          <w:szCs w:val="24"/>
        </w:rPr>
      </w:pPr>
      <w:r w:rsidRPr="005A318B">
        <w:rPr>
          <w:rFonts w:ascii="Times New Roman" w:hAnsi="Times New Roman" w:cs="Times New Roman"/>
          <w:sz w:val="24"/>
          <w:szCs w:val="24"/>
        </w:rPr>
        <w:t xml:space="preserve">Flerspråkighet, identitet och lärande. Nigel Musk &amp; Åsa Wedin (red.). Lund: Studentlitteratur. Forsberg, Jenny (2012). Blogga,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tvittra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fejsbucka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– kommunicera effektivt i sociala medier. Stockholm: Norstedts. [E-bok].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Garme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Birgitta (red.) (2002). Språk på väg. Om elevers språk och skolans möjligheter. Ord och stil. Harstad, Fredrik; Andersson, Annica (2009). Expedition: Språk i Norden.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nordienT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. Herbert, Ingrid; Englund Hjalmarsson, Helena (2012). Språket i sociala medier. Stockholm: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Prodicta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. Hylén, Jan (2010). Digitaliseringen av skolan. Lund: Studentlitteratur. Håkansson, Gisela; Norrby, Catrin (2015). Introduktion till sociolingvistik. Lund: Studentlitteratur. LINKÖPINGS UNIVERSITET INSTITUTION/AVDELNING 18-05-01 714G59 och 714G47, delkurs 4 3 Josephson, Olle (2004). ”ju”. Ifrågasatta självklarheter om svenskan, engelskan och alla andra språk. Skrifter utgivna av Svenska språknämnden, 91. Stockholm: Norstedts ordbok. Karlsson, Anna-Malin (2006). En arbetsdag i skriftsamhället. Ett etnografiskt perspektiv på skriftanvändning i vanliga yrken. Småskrift utgiven av Språkrådet. Stockholm. Kotsinas, Ulla-Britt (1994).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Vråååål-bedåriskt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. En bok om flickslang. Astrid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Brismans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slangordbok 1932. Stockholm: Norstedts. Kotsinas, Ulla-Britt (2004). Ungdomsspråk. Ord och stil. Stockholm. Kotsinas, Ulla-Britt (2005). Invandrarsvenska. Stockholm: Hallgren &amp; Fallgren. Malmstedt, Jan (2007).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Docendo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. [IT-ordbok]. Mer än ett språk. En antologi om flerspråkigheten i norra Sverige (2007). Eva Westergren &amp; Hans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Åhl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(red.) (2007). Stockholm: Norstedts Akademiska Förlag. Nordberg, Bengt (1992). Om det sociala i språket. Språk och stil. Stockholm. Nordens språk (1997). Allan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Karker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et al (red.). Oslo: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Novus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forlag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. Nordenstam, Kerstin (2003). Genusperspektiv på språk. Högskoleverket. Nordenstam, Kerstin (1998). Skvaller. Ord och stil. Stockholm. Nordenstam, Kerstin; Wallin, Ingrid (2002). Osynliga flickor – synliga pojkar. Om ungdomar med svenska som andraspråk. Lund: Studentlitteratur.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Nuopponen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Anita;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Pilke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Nina (2010). Ordning och reda. Terminologilära i teori och praktik. </w:t>
      </w:r>
      <w:r w:rsidRPr="00D81158">
        <w:rPr>
          <w:rFonts w:ascii="Times New Roman" w:hAnsi="Times New Roman" w:cs="Times New Roman"/>
          <w:sz w:val="24"/>
          <w:szCs w:val="24"/>
        </w:rPr>
        <w:t xml:space="preserve">Stockholm: Norstedts. </w:t>
      </w:r>
      <w:r w:rsidRPr="005A318B">
        <w:rPr>
          <w:rFonts w:ascii="Times New Roman" w:hAnsi="Times New Roman" w:cs="Times New Roman"/>
          <w:sz w:val="24"/>
          <w:szCs w:val="24"/>
          <w:lang w:val="en-US"/>
        </w:rPr>
        <w:t xml:space="preserve">Perpetual Contact. Mobile Communication, Private Talk, Public Performance. (2002). E. James E. Katz and Mark A. </w:t>
      </w:r>
      <w:proofErr w:type="spellStart"/>
      <w:r w:rsidRPr="005A318B">
        <w:rPr>
          <w:rFonts w:ascii="Times New Roman" w:hAnsi="Times New Roman" w:cs="Times New Roman"/>
          <w:sz w:val="24"/>
          <w:szCs w:val="24"/>
          <w:lang w:val="en-US"/>
        </w:rPr>
        <w:t>Aakhus</w:t>
      </w:r>
      <w:proofErr w:type="spellEnd"/>
      <w:r w:rsidRPr="005A31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1158">
        <w:rPr>
          <w:rFonts w:ascii="Times New Roman" w:hAnsi="Times New Roman" w:cs="Times New Roman"/>
          <w:sz w:val="24"/>
          <w:szCs w:val="24"/>
        </w:rPr>
        <w:t xml:space="preserve">Cambridge University Press. </w:t>
      </w:r>
      <w:r w:rsidRPr="005A318B">
        <w:rPr>
          <w:rFonts w:ascii="Times New Roman" w:hAnsi="Times New Roman" w:cs="Times New Roman"/>
          <w:sz w:val="24"/>
          <w:szCs w:val="24"/>
        </w:rPr>
        <w:t xml:space="preserve">Renberg, Bo (2006). Språkets mirakel. Om tänkande, tal och skrift. Stockholm: Liber. Samspel och variation. Språkliga studier tillägnade Bengt Nordberg på 60-årsdagen. (1996). Institutionen för nordiska språk. Uppsala. Samtal och grammatik. Studier i svenskt samtalsspråk (2005). Jan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Anward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&amp; Bengt Nordberg (red.). Lund: Studentlitteratur. LINKÖPINGS UNIVERSITET INSTITUTION/AVDELNING 18-05-01 714G59 och 714G47, delkurs 4 4 Sociolingvistik (2008). Eva Sundgren (red.). Stockholm: Liber. Essäernas rubriker: Vad är </w:t>
      </w:r>
      <w:r w:rsidRPr="005A318B">
        <w:rPr>
          <w:rFonts w:ascii="Times New Roman" w:hAnsi="Times New Roman" w:cs="Times New Roman"/>
          <w:sz w:val="24"/>
          <w:szCs w:val="24"/>
        </w:rPr>
        <w:lastRenderedPageBreak/>
        <w:t xml:space="preserve">sociolingvistik?, Dialekter och sociolekter, Språklig variation och förändring, Attityder till språk, Språk och genus, Samtal och samtalsforskning, Ungdomsspråk, Tvåspråkighet och språkkontakter i Sverige – gammalt fenomen, nya utvecklingar, Språkpolitik och språkvård. Språk &amp; skrift i Europa. Liten bok om Europas stater och språk (2004). Roger Hansson, Carl Göran Lindgren, Heléne Ljung, Thomas Lundén. Stockholm: SNS Förlag. Språkvård och språkpolitik. (2010). Svenska språknämndens forskningskonferens i Saltsjöbaden 2008. Lars-Gunnar Andersson, Olle Josephson, Inger Lindberg, Mats Thelander (red.). Småskrift utarbetad av Språkrådet. Stockholm: Norstedts.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Strömquist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Siv (2011). Vart är vart på väg? Och andra språkfrågor i tiden. Stockholm: Norstedts. Strömqvist, Sven (2009). Språkets öga. Om vägarna mellan tankar och ord. Lund: Studentlitteratur. Sundgren, Eva (2004). Språklig variation och förändring. Exemplet Eskilstuna. Lund: Studentlitteratur. Svahn, Margareta (1999). Den liderliga kvinnan och den omanlige mannen. Skällsord, stereotyper och könskonstruktioner. Stockholm: Carlssons. Svenskans beskrivning 25. (2001). Åbo. (Se gärna övriga årgångar utgivna vid konferenserna Svenskans beskrivning.) Svensson, Patrik (2008). Språkutbildning i en digital värld. Informationsteknik, kommunikation och lärande. Stockholm: Norstedts Akademiska Förlag. Sveriges officiella minoritetsspråk. Finska, meänkieli, samiska, romani, jiddisch och teckenspråk (2003). Småskrift utgiven av svenska språknämnden, 86. Stockholm: Norstedts ordbok.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Tannen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, Deborah (1996). Prat från 9 till 5: om kvinnors och mäns samtalsstilar på jobbet. Stockholm: Wahlström &amp; Widstrand. Teleman, Ulf (2003).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Tradis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och funkis. Svensk språkvård och språkpolitik efter 1800. Skrifter utgivna av Svenska språknämnden, 87. Stockholm: Norstedts ordbok. Wagner Åse Kari H.; Strömqvist, Sven; Uppstad, Per Henning (2010). Den flerspråkiga människan. Lund: Studentlitteratur. Wedin, Åsa; Hedman, Christina (2013). Flerspråkighet, </w:t>
      </w:r>
      <w:proofErr w:type="spellStart"/>
      <w:r w:rsidRPr="005A318B">
        <w:rPr>
          <w:rFonts w:ascii="Times New Roman" w:hAnsi="Times New Roman" w:cs="Times New Roman"/>
          <w:sz w:val="24"/>
          <w:szCs w:val="24"/>
        </w:rPr>
        <w:t>litteracitet</w:t>
      </w:r>
      <w:proofErr w:type="spellEnd"/>
      <w:r w:rsidRPr="005A318B">
        <w:rPr>
          <w:rFonts w:ascii="Times New Roman" w:hAnsi="Times New Roman" w:cs="Times New Roman"/>
          <w:sz w:val="24"/>
          <w:szCs w:val="24"/>
        </w:rPr>
        <w:t xml:space="preserve"> och multimodalitet. Lund: Studentlitteratur.</w:t>
      </w:r>
    </w:p>
    <w:sectPr w:rsidR="00365BE4" w:rsidRPr="005A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8B"/>
    <w:rsid w:val="00365BE4"/>
    <w:rsid w:val="005A318B"/>
    <w:rsid w:val="005B21D2"/>
    <w:rsid w:val="00D8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B92C"/>
  <w15:chartTrackingRefBased/>
  <w15:docId w15:val="{E3EA955C-94C3-4AB9-970B-0F525DE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A31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2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5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78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5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1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8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prakochfolkminnen.se/download/18.1bc6136f1422723e4bf7508/1398%20151022584/Sprakpolitik-for-interne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8ad077f-06d6-4548-8b71-51e38410487f">1.0</_lisam_PublishedVersion>
    <_lisam_Description xmlns="b68bc5b2-bf51-421d-a740-0d8a222855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CCB4C71E3214A8017287F08D8C34C" ma:contentTypeVersion="4" ma:contentTypeDescription="Skapa ett nytt dokument." ma:contentTypeScope="" ma:versionID="6193bd2c3ec6bea32c7937bc50322545">
  <xsd:schema xmlns:xsd="http://www.w3.org/2001/XMLSchema" xmlns:xs="http://www.w3.org/2001/XMLSchema" xmlns:p="http://schemas.microsoft.com/office/2006/metadata/properties" xmlns:ns2="b68bc5b2-bf51-421d-a740-0d8a222855db" xmlns:ns3="88ad077f-06d6-4548-8b71-51e38410487f" targetNamespace="http://schemas.microsoft.com/office/2006/metadata/properties" ma:root="true" ma:fieldsID="219c377c7053277492dce9d991b4829f" ns2:_="" ns3:_="">
    <xsd:import namespace="b68bc5b2-bf51-421d-a740-0d8a222855db"/>
    <xsd:import namespace="88ad077f-06d6-4548-8b71-51e38410487f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bc5b2-bf51-421d-a740-0d8a222855d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d077f-06d6-4548-8b71-51e38410487f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640D0-4672-4A94-8651-C9814538B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1F1D1-7CCF-4D40-9B7E-A9A36D50A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AEBB2-4EC8-4C52-95DE-9B9B30753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1248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Saxtrup Hermansson</dc:creator>
  <cp:keywords/>
  <dc:description/>
  <cp:lastModifiedBy>Birgitte Saxtrup Hermansson</cp:lastModifiedBy>
  <cp:revision>2</cp:revision>
  <dcterms:created xsi:type="dcterms:W3CDTF">2020-01-07T09:58:00Z</dcterms:created>
  <dcterms:modified xsi:type="dcterms:W3CDTF">2020-01-14T20:40:00Z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0x0101005F0CCB4C71E3214A8017287F08D8C34C</vt:lpwstr>
  </property>
</Properties>
</file>